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42</w:t>
      </w:r>
    </w:p>
    <w:p>
      <w:r>
        <w:t>Bundesgericht (BGE), 1969-08-27, FR</w:t>
      </w:r>
    </w:p>
    <w:p>
      <w:r>
        <w:rPr>
          <w:b/>
        </w:rPr>
        <w:t xml:space="preserve">Quelle: </w:t>
      </w:r>
      <w:r>
        <w:t>https://mcp.opencaselaw.ch/entscheid/bge_102 IV 42</w:t>
      </w:r>
    </w:p>
    <w:p>
      <w:r>
        <w:t>FR: ATF 102 IV 42</w:t>
      </w:r>
    </w:p>
    <w:p>
      <w:r>
        <w:t>IT: DTF 102 IV 42</w:t>
      </w:r>
    </w:p>
    <w:p>
      <w:pPr>
        <w:pStyle w:val="Heading2"/>
      </w:pPr>
      <w:r>
        <w:t>Regeste</w:t>
      </w:r>
    </w:p>
    <w:p>
      <w:r>
        <w:t>Regeste 1. Art. 33 Abs. 1 VO vom 27. August 1969 über Bau und Ausrüstung der Strassenfahrzeuge; Art. 57 Abs. 3 VRV. Die nächtliche Fahrt mit einem Motorfahrzeug, dessen Geschwindigkeitsmesser wegen eines Beleuchtungsdefekts nicht ablesbar ist, stellt keine Verkehrsregelverletzung dar, wenn der Führer so langsam fährt, dass er auch ohne Kontrollinstrument sicher ist, die zulässige Höchstgeschwindigkeit nicht zu überschreiten. 2. Art. 90 Ziff. 2 SVG. a) Diese Bestimmung ist auch anwendbar, wenn die Sicherheit anderer abstrakt gefährdet wird, vorausgesetzt dass es sich um eine ernstliche Gefahr handelt (Erw. 2). b) Ob die Geschwindigkeit nachts der Sichtweite angepasst ist, beurteilt sich nach der Gesamtheit der Umstände. Wird die Fahrbahn ausschliesslich durch die Scheinwerfer des Fahrzeuges beleuchtet, so muss innerhalb ihrer Reichweite angehalten werden können; das gilt auch bei Fahren mit Abblendlicht (Erw. 2). c) Eine Geschwindigkeit, die nicht den Sichtverhältnissen angepasst ist, kann auf einer Autobahn eine grobe Verletzung der Verkehrsregeln bedeuten (Erw. 2).</w:t>
      </w:r>
    </w:p>
    <w:p>
      <w:pPr>
        <w:pStyle w:val="Heading2"/>
      </w:pPr>
      <w:r>
        <w:t>Erwägungen</w:t>
      </w:r>
    </w:p>
    <w:p>
      <w:r>
        <w:rPr>
          <w:b/>
        </w:rPr>
        <w:t>E. 1</w:t>
      </w:r>
    </w:p>
    <w:p>
      <w:r>
        <w:t>En vertu de l'art. 33 al. 1 OCF du 27 août 1969 sur la construction et l'équipement des véhicules routiers, les voitures automobiles doivent être munies d'un compteur de vitesse, placé dans le champ visuel du conducteur, lisible également la nuit et indiquant la vitesse en km/h. L'inobservation de cette prescription n'est manifestement pas en soi la source d'un danger particulier d'accident ou d'une violation des règles de la circulation. On ne saurait toutefois reprocher à l'autorité cantonale d'avoir imputé au recourant, dans l'application globale du cas, le fait qu'il a roulé à une allure dépassant largement les 130 km/h autorisés par l'arrêté fédéral du 11 mars 1974, alors qu'il ne disposait d'aucun contrôle de sa vitesse. Dans ces conditions, le recourant aurait dû en effet prendre la précaution que commande l'art. 57 al. 3 OCR - dont il se réclame pourtant - et régler sa vitesse de façon à être certain de respecter la loi.</w:t>
      </w:r>
    </w:p>
    <w:p>
      <w:r>
        <w:rPr>
          <w:b/>
        </w:rPr>
        <w:t>E. 2</w:t>
      </w:r>
    </w:p>
    <w:p>
      <w:r>
        <w:t>C'est à juste titre que l'autorité cantonale a rejeté l'opinion du premier juge selon laquelle l'art. 90 ch. 2 LCR n'est applicable que si des usagers de la route ont été concrètement mis en danger. Un risque abstrait suffit, pourvu qu'il BGE 102 IV 42 S. 45 soit sérieux. Ce serait en revanche aller trop loin que d'estimer schématiquement - comme elle semble le faire - que toute vitesse ne permettant pas à un véhicule de s'arrêter sur la distance éclairée par ses phares est excessive et constitue une violation grave des règles de la circulation. Si l'on devait admettre un tel principe, on ne voit pas ce qui pourrait justifier le comportement de la police in casu, qui a poursuivi le recourant, qui n'était pourtant pas soupçonné d'un crime, sur 17 km à une vitesse de 180 km/h, alors qu'elle aurait pu le faire intercepter à la sortie de l'autoroute. Il n'est pas nécessaire de faire un grand effort d'imagination pour discerner de nombreuses hypothèses dans lesquelles le principe en cause serait erroné. En réalité, la vitesse ne doit pas être adaptée à la distance sur laquelle porte l'éclairage du véhicule, mais à celle sur laquelle s'étend la visibilité. Lorsque celle-ci est satisfaisante sur une plus grande étendue, la vitesse peut être plus élevée, ainsi lorsque les feux de route du véhicule qui dépasse conjuguent leurs effets avec ceux du véhicule rattrapé, lorsque l'éclairage public est suffisant, ou lorsque l'on suit à une distance adéquate un véhicule rapide, comme la police l'a fait dans le cas présent. En l'occurrence, il n'existait - le recourant ne soutient pas le contraire - aucune circonstance spéciale permettant de conclure à la présence d'un éclairage, autre que celui de la voiture, qui aurait pu autoriser le conducteur de celle-ci à accélérer son allure. Dès lors celui-ci, en roulant à une vitesse qui ne lui aurait manifestement pas permis de s'arrêter sur la distance où portait sa visibilité, a violé les dispositions des art. 32 LCR et 4 OCR (RO 100 IV 282). Une telle faute, sur une autoroute où les conséquences d'un accident sont rendues plus lourdes par la vitesse élevée des usagers, est grave (RO 92 IV 145/6, 99 IV 280/1; cf. item RO 93 IC 117, 95 IV 2, 100 IV 284) et ne saurait d'une manière générale être constitutive d'une simple contravention au sens de l'art. 90 ch. 1 LCR, même si la peine infligée n'excède en fin de compte pas la sanction prévue dans cette dernière disposition.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